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E36" w:rsidRPr="003A7958" w:rsidRDefault="00583E36">
      <w:pPr>
        <w:pStyle w:val="Default"/>
        <w:rPr>
          <w:rFonts w:ascii="Cambria" w:hAnsi="Cambria" w:cs="Cambria"/>
        </w:rPr>
      </w:pPr>
    </w:p>
    <w:p w:rsidR="00583E36" w:rsidRPr="003A7958" w:rsidRDefault="00583E36" w:rsidP="0068329F">
      <w:pPr>
        <w:pStyle w:val="Heading2"/>
        <w:ind w:left="7080"/>
        <w:rPr>
          <w:sz w:val="24"/>
          <w:szCs w:val="24"/>
        </w:rPr>
      </w:pPr>
      <w:r w:rsidRPr="003A7958">
        <w:rPr>
          <w:sz w:val="24"/>
          <w:szCs w:val="24"/>
        </w:rPr>
        <w:t>Załącznik II.1</w:t>
      </w:r>
    </w:p>
    <w:p w:rsidR="00583E36" w:rsidRPr="003A7958" w:rsidRDefault="00583E36">
      <w:pPr>
        <w:pStyle w:val="Heading2"/>
        <w:rPr>
          <w:color w:val="FF0000"/>
          <w:sz w:val="24"/>
          <w:szCs w:val="24"/>
        </w:rPr>
      </w:pPr>
      <w:r w:rsidRPr="003A7958">
        <w:rPr>
          <w:sz w:val="24"/>
          <w:szCs w:val="24"/>
        </w:rPr>
        <w:t>1.3. Karta modułu/przedmiotu</w:t>
      </w:r>
      <w:r w:rsidRPr="003A7958">
        <w:rPr>
          <w:sz w:val="24"/>
          <w:szCs w:val="24"/>
        </w:rPr>
        <w:tab/>
      </w:r>
      <w:r w:rsidRPr="003A7958">
        <w:rPr>
          <w:sz w:val="24"/>
          <w:szCs w:val="24"/>
        </w:rPr>
        <w:tab/>
      </w:r>
      <w:r w:rsidRPr="003A7958">
        <w:rPr>
          <w:sz w:val="24"/>
          <w:szCs w:val="24"/>
        </w:rPr>
        <w:tab/>
      </w:r>
      <w:r w:rsidRPr="003A7958">
        <w:rPr>
          <w:sz w:val="24"/>
          <w:szCs w:val="24"/>
        </w:rPr>
        <w:tab/>
      </w:r>
      <w:r w:rsidRPr="003A7958">
        <w:rPr>
          <w:sz w:val="24"/>
          <w:szCs w:val="24"/>
        </w:rPr>
        <w:tab/>
      </w:r>
      <w:r w:rsidRPr="003A7958">
        <w:rPr>
          <w:sz w:val="24"/>
          <w:szCs w:val="24"/>
        </w:rPr>
        <w:tab/>
      </w:r>
      <w:r w:rsidRPr="003A7958">
        <w:rPr>
          <w:sz w:val="24"/>
          <w:szCs w:val="24"/>
        </w:rPr>
        <w:tab/>
      </w:r>
    </w:p>
    <w:p w:rsidR="00583E36" w:rsidRPr="003A7958" w:rsidRDefault="00583E36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583E36" w:rsidRPr="003A795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83E36" w:rsidRPr="003A7958" w:rsidRDefault="00583E36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583E36" w:rsidRPr="003A7958" w:rsidRDefault="00583E36" w:rsidP="00584E2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Literatura powszechna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83E36" w:rsidRPr="003A7958" w:rsidRDefault="00583E36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Literatura powszechna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583E36" w:rsidRPr="003A7958" w:rsidRDefault="00583E36" w:rsidP="00F0711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583E36" w:rsidRPr="00CB3EAC" w:rsidRDefault="00583E36" w:rsidP="00CB3EA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CB3EAC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filologia polska - </w:t>
            </w:r>
          </w:p>
          <w:p w:rsidR="00583E36" w:rsidRPr="003A7958" w:rsidRDefault="00583E36" w:rsidP="00CB3EA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B3EAC">
              <w:rPr>
                <w:rFonts w:ascii="Cambria" w:hAnsi="Cambria" w:cs="Cambria"/>
                <w:b/>
                <w:bCs/>
                <w:sz w:val="22"/>
                <w:szCs w:val="22"/>
              </w:rPr>
              <w:t>nauczycielska / filologiczna obsługa biznesu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583E36" w:rsidRPr="003A7958" w:rsidRDefault="00583E36" w:rsidP="006560B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I 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73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3A7958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583E36" w:rsidRPr="003A7958" w:rsidRDefault="00583E36">
      <w:pPr>
        <w:rPr>
          <w:rFonts w:ascii="Cambria" w:hAnsi="Cambria" w:cs="Cambria"/>
          <w:sz w:val="24"/>
          <w:szCs w:val="24"/>
        </w:rPr>
      </w:pPr>
    </w:p>
    <w:p w:rsidR="00583E36" w:rsidRPr="003A7958" w:rsidRDefault="00583E36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83E36" w:rsidRPr="003A795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83E36" w:rsidRPr="006560B5" w:rsidRDefault="00583E36" w:rsidP="000A3DFE">
            <w:pPr>
              <w:rPr>
                <w:rFonts w:ascii="Cambria" w:hAnsi="Cambria" w:cs="Cambria"/>
                <w:sz w:val="24"/>
                <w:szCs w:val="24"/>
              </w:rPr>
            </w:pPr>
            <w:r w:rsidRPr="006560B5">
              <w:rPr>
                <w:rFonts w:ascii="Cambria" w:hAnsi="Cambria" w:cs="Cambria"/>
                <w:sz w:val="24"/>
                <w:szCs w:val="24"/>
              </w:rPr>
              <w:t>prof. dr hab. Krystyna Maksimowicz</w:t>
            </w:r>
          </w:p>
        </w:tc>
      </w:tr>
      <w:tr w:rsidR="00583E36" w:rsidRPr="003A7958">
        <w:tc>
          <w:tcPr>
            <w:tcW w:w="2988" w:type="dxa"/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83E36" w:rsidRPr="006560B5" w:rsidRDefault="00583E36" w:rsidP="000A3DFE">
            <w:pPr>
              <w:rPr>
                <w:rFonts w:ascii="Cambria" w:hAnsi="Cambria" w:cs="Cambria"/>
                <w:sz w:val="24"/>
                <w:szCs w:val="24"/>
              </w:rPr>
            </w:pPr>
            <w:r w:rsidRPr="006560B5">
              <w:rPr>
                <w:rFonts w:ascii="Cambria" w:hAnsi="Cambria" w:cs="Cambria"/>
                <w:sz w:val="24"/>
                <w:szCs w:val="24"/>
              </w:rPr>
              <w:t>prof. dr hab. Krystyna Maksimowicz</w:t>
            </w:r>
          </w:p>
        </w:tc>
      </w:tr>
      <w:tr w:rsidR="00583E36" w:rsidRPr="003A7958">
        <w:tc>
          <w:tcPr>
            <w:tcW w:w="2988" w:type="dxa"/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83E36" w:rsidRDefault="00583E36" w:rsidP="000A3DF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583E36" w:rsidRPr="003A7958" w:rsidRDefault="00583E36" w:rsidP="000A3DF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583E36" w:rsidRPr="003A7958" w:rsidRDefault="00583E36" w:rsidP="000A3DF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Zapoznanie studentów z najważniejszymi osiągnięciami literackim europejskiego obszaru kulturowego. Uporządkowanie  i usystematyzowanie wiedzy na temat wybranych literatur europejskich, czyniąc zadość kryterium chronologicznemu. Rozbudzenie zainteresowań literaturą europejską oraz wskazanie sposobów zdobywania informacji na ten temat.</w:t>
            </w:r>
          </w:p>
          <w:p w:rsidR="00583E36" w:rsidRPr="003A7958" w:rsidRDefault="00583E36" w:rsidP="000A3DF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83E36" w:rsidRPr="003A795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83E36" w:rsidRDefault="00583E36" w:rsidP="000A3DF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583E36" w:rsidRPr="003A7958" w:rsidRDefault="00583E36" w:rsidP="000A3DF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583E36" w:rsidRPr="003A7958" w:rsidRDefault="00583E36" w:rsidP="000A3DF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Podstawowa znajomość epok literackich i wybranych utworów</w:t>
            </w:r>
            <w:r>
              <w:rPr>
                <w:rFonts w:ascii="Cambria" w:hAnsi="Cambria" w:cs="Cambria"/>
                <w:sz w:val="24"/>
                <w:szCs w:val="24"/>
              </w:rPr>
              <w:t>, zgodnie z programem szkoły średniej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.</w:t>
            </w:r>
          </w:p>
          <w:p w:rsidR="00583E36" w:rsidRPr="003A7958" w:rsidRDefault="00583E36" w:rsidP="000A3DF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583E36" w:rsidRPr="003A7958" w:rsidRDefault="00583E36">
      <w:pPr>
        <w:rPr>
          <w:rFonts w:ascii="Cambria" w:hAnsi="Cambria" w:cs="Cambria"/>
          <w:sz w:val="24"/>
          <w:szCs w:val="24"/>
        </w:rPr>
      </w:pPr>
    </w:p>
    <w:p w:rsidR="00583E36" w:rsidRDefault="00583E36">
      <w:pPr>
        <w:rPr>
          <w:rFonts w:ascii="Cambria" w:hAnsi="Cambria" w:cs="Cambria"/>
          <w:sz w:val="24"/>
          <w:szCs w:val="24"/>
        </w:rPr>
      </w:pPr>
    </w:p>
    <w:p w:rsidR="00583E36" w:rsidRDefault="00583E36">
      <w:pPr>
        <w:rPr>
          <w:rFonts w:ascii="Cambria" w:hAnsi="Cambria" w:cs="Cambria"/>
          <w:sz w:val="24"/>
          <w:szCs w:val="24"/>
        </w:rPr>
      </w:pPr>
    </w:p>
    <w:p w:rsidR="00583E36" w:rsidRPr="003A7958" w:rsidRDefault="00583E36">
      <w:pPr>
        <w:rPr>
          <w:rFonts w:ascii="Cambria" w:hAnsi="Cambria" w:cs="Cambria"/>
          <w:sz w:val="24"/>
          <w:szCs w:val="24"/>
        </w:rPr>
      </w:pPr>
    </w:p>
    <w:p w:rsidR="00583E36" w:rsidRPr="003A7958" w:rsidRDefault="00583E36">
      <w:pPr>
        <w:rPr>
          <w:rFonts w:ascii="Cambria" w:hAnsi="Cambria" w:cs="Cambria"/>
          <w:sz w:val="24"/>
          <w:szCs w:val="24"/>
        </w:rPr>
      </w:pPr>
    </w:p>
    <w:p w:rsidR="00583E36" w:rsidRPr="003A7958" w:rsidRDefault="00583E36">
      <w:pPr>
        <w:rPr>
          <w:rFonts w:ascii="Cambria" w:hAnsi="Cambria" w:cs="Cambria"/>
          <w:sz w:val="24"/>
          <w:szCs w:val="24"/>
        </w:rPr>
      </w:pPr>
    </w:p>
    <w:p w:rsidR="00583E36" w:rsidRPr="003A7958" w:rsidRDefault="00583E36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583E36" w:rsidRPr="003A795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583E36" w:rsidRPr="003A7958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583E36" w:rsidRPr="003A7958">
        <w:trPr>
          <w:cantSplit/>
        </w:trPr>
        <w:tc>
          <w:tcPr>
            <w:tcW w:w="908" w:type="dxa"/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583E36" w:rsidRPr="003A7958" w:rsidRDefault="00583E36" w:rsidP="000A3DF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Posługuje się podstawową  wiedzą z zakresu kultury antycznej i  wybranej literatury europejskiej w powiązaniu z kulturą i literaturą polską.</w:t>
            </w:r>
          </w:p>
        </w:tc>
        <w:tc>
          <w:tcPr>
            <w:tcW w:w="1400" w:type="dxa"/>
            <w:vAlign w:val="center"/>
          </w:tcPr>
          <w:p w:rsidR="00583E36" w:rsidRPr="003A7958" w:rsidRDefault="00583E36" w:rsidP="0094628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K_W11</w:t>
            </w:r>
          </w:p>
        </w:tc>
      </w:tr>
      <w:tr w:rsidR="00583E36" w:rsidRPr="003A7958">
        <w:trPr>
          <w:cantSplit/>
        </w:trPr>
        <w:tc>
          <w:tcPr>
            <w:tcW w:w="908" w:type="dxa"/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583E36" w:rsidRPr="003A7958" w:rsidRDefault="00583E36" w:rsidP="00D0468B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Pozycjonuje i weryfikuje zakres posiadanych przez siebie 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informacj</w:t>
            </w:r>
            <w:r>
              <w:rPr>
                <w:rFonts w:ascii="Cambria" w:hAnsi="Cambria" w:cs="Cambria"/>
                <w:sz w:val="24"/>
                <w:szCs w:val="24"/>
              </w:rPr>
              <w:t>i</w:t>
            </w:r>
            <w:r w:rsidRPr="003A7958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oraz z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dobywa wiadomości na wskazany temat i sytuuje je w szerszym kontekście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.  </w:t>
            </w:r>
          </w:p>
        </w:tc>
        <w:tc>
          <w:tcPr>
            <w:tcW w:w="1400" w:type="dxa"/>
            <w:vAlign w:val="center"/>
          </w:tcPr>
          <w:p w:rsidR="00583E36" w:rsidRPr="003A7958" w:rsidRDefault="00583E36" w:rsidP="00584E2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K_K01</w:t>
            </w:r>
          </w:p>
        </w:tc>
      </w:tr>
      <w:tr w:rsidR="00583E36" w:rsidRPr="003A7958">
        <w:trPr>
          <w:cantSplit/>
        </w:trPr>
        <w:tc>
          <w:tcPr>
            <w:tcW w:w="908" w:type="dxa"/>
            <w:vAlign w:val="center"/>
          </w:tcPr>
          <w:p w:rsidR="00583E36" w:rsidRPr="003A7958" w:rsidRDefault="00583E36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583E36" w:rsidRPr="003A7958" w:rsidRDefault="00583E36" w:rsidP="000A3DF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Rekonstruuje światopogląd doby antyku i epok późniejszych (do XVII w.)  jako element dziedzictwa kulturowego Europy.</w:t>
            </w:r>
          </w:p>
        </w:tc>
        <w:tc>
          <w:tcPr>
            <w:tcW w:w="1400" w:type="dxa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K_K08</w:t>
            </w:r>
          </w:p>
        </w:tc>
      </w:tr>
      <w:tr w:rsidR="00583E36" w:rsidRPr="003A7958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583E36" w:rsidRPr="003A7958" w:rsidRDefault="00583E36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583E36" w:rsidRPr="003A7958" w:rsidRDefault="00583E36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Analityczny przegląd  literatur europejskich:  starogreckiej,  rzymskiej, włoskiej, francuskiej  i angielskiej.   Za główne kryterium wyboru utworów przyjmuje się rangę dzieła (problematyka, artyzm). Przedstawione opracowania literatur mają charakter historycznoliteracki. Sposób przedstawienia dzieł winien unaocznić wkład piśmiennictwa poszczególnych narodów do literatury  polskiej, a nawet światowej. Podejmuje się następujące kwestie:  obraz świata i człowieka w literaturze antycznej; kłopoty z Homerem (kwestia Homerowa);  tragedia grecka  (Tespis, Sofokles); Safona w świetle swych pieśni; rola sportu w starożytnej Grecji (Pindar, epinikia). Literatura rzymska (Horacy, pieśni oraz listy prozą i wierszem, horacjanizm); Cicero (mowy: ideały republikańskie).  Literatura włoska: poeta uwieńczony (Petrarka, petrarkizm; problem Laury).  Literatura francuska:  epika rycerska (</w:t>
            </w:r>
            <w:r w:rsidRPr="003A7958">
              <w:rPr>
                <w:rFonts w:ascii="Cambria" w:hAnsi="Cambria" w:cs="Cambria"/>
                <w:i/>
                <w:iCs/>
                <w:sz w:val="24"/>
                <w:szCs w:val="24"/>
              </w:rPr>
              <w:t>Pieśń o Rolandzie</w:t>
            </w:r>
            <w:r w:rsidRPr="003A7958">
              <w:rPr>
                <w:rFonts w:ascii="Cambria" w:hAnsi="Cambria" w:cs="Cambria"/>
                <w:sz w:val="24"/>
                <w:szCs w:val="24"/>
              </w:rPr>
              <w:t xml:space="preserve">);  wobec Pindara i Petrarki (Ronsard). Literatura angielska: teatr elżbietański; propozycja przewodnika encyklopedycznego związanego z Szekspirem. </w:t>
            </w:r>
          </w:p>
          <w:p w:rsidR="00583E36" w:rsidRPr="003A7958" w:rsidRDefault="00583E36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583E36" w:rsidRPr="003A7958" w:rsidRDefault="00583E36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583E36" w:rsidRPr="003A7958" w:rsidRDefault="00583E36">
            <w:pPr>
              <w:pStyle w:val="Heading1"/>
              <w:rPr>
                <w:rFonts w:ascii="Cambria" w:hAnsi="Cambria" w:cs="Cambria"/>
              </w:rPr>
            </w:pPr>
            <w:r w:rsidRPr="003A7958">
              <w:rPr>
                <w:rFonts w:ascii="Cambria" w:hAnsi="Cambria" w:cs="Cambria"/>
              </w:rPr>
              <w:t>Laboratorium</w:t>
            </w: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583E36" w:rsidRPr="003A7958" w:rsidRDefault="00583E36">
            <w:pPr>
              <w:pStyle w:val="Heading1"/>
              <w:rPr>
                <w:rFonts w:ascii="Cambria" w:hAnsi="Cambria" w:cs="Cambria"/>
              </w:rPr>
            </w:pPr>
            <w:r w:rsidRPr="003A7958">
              <w:rPr>
                <w:rFonts w:ascii="Cambria" w:hAnsi="Cambria" w:cs="Cambria"/>
              </w:rPr>
              <w:t>Projekt</w:t>
            </w: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583E36" w:rsidRPr="003A7958" w:rsidRDefault="00583E36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83E36" w:rsidRPr="003A7958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i/>
                <w:iCs/>
                <w:sz w:val="24"/>
                <w:szCs w:val="24"/>
              </w:rPr>
              <w:t>Dzieje literatur europejskich</w:t>
            </w:r>
            <w:r w:rsidRPr="003A7958">
              <w:rPr>
                <w:rFonts w:ascii="Cambria" w:hAnsi="Cambria" w:cs="Cambria"/>
                <w:sz w:val="24"/>
                <w:szCs w:val="24"/>
              </w:rPr>
              <w:t xml:space="preserve">, pod red. W. Floriana, t. 1, Warszawa 1979, </w:t>
            </w:r>
          </w:p>
          <w:p w:rsidR="00583E36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i t. 2, Warszawa 1982  (wybrane fragmenty); M. Cytowska, H. Szelest, </w:t>
            </w:r>
            <w:r w:rsidRPr="003A7958">
              <w:rPr>
                <w:rFonts w:ascii="Cambria" w:hAnsi="Cambria" w:cs="Cambria"/>
                <w:i/>
                <w:iCs/>
                <w:sz w:val="24"/>
                <w:szCs w:val="24"/>
              </w:rPr>
              <w:t>Literatura grecka i rzymska w zarysie</w:t>
            </w:r>
            <w:r w:rsidRPr="003A7958">
              <w:rPr>
                <w:rFonts w:ascii="Cambria" w:hAnsi="Cambria" w:cs="Cambria"/>
                <w:sz w:val="24"/>
                <w:szCs w:val="24"/>
              </w:rPr>
              <w:t xml:space="preserve">, Warszawa 1981 (wybór);  G. Janson, P. Tuffrau, </w:t>
            </w:r>
            <w:r w:rsidRPr="003A7958"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francuskiej w zarysie</w:t>
            </w:r>
            <w:r w:rsidRPr="003A7958">
              <w:rPr>
                <w:rFonts w:ascii="Cambria" w:hAnsi="Cambria" w:cs="Cambria"/>
                <w:sz w:val="24"/>
                <w:szCs w:val="24"/>
              </w:rPr>
              <w:t xml:space="preserve">, Warszawa 1971 (wybór);  J. Einstein, </w:t>
            </w:r>
            <w:r w:rsidRPr="003A7958"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włoskiej. Zarys</w:t>
            </w:r>
            <w:r w:rsidRPr="003A7958">
              <w:rPr>
                <w:rFonts w:ascii="Cambria" w:hAnsi="Cambria" w:cs="Cambria"/>
                <w:sz w:val="24"/>
                <w:szCs w:val="24"/>
              </w:rPr>
              <w:t xml:space="preserve">, Wrocław 1979 (wybór); P. Mroczkowski. </w:t>
            </w:r>
            <w:r w:rsidRPr="003A7958">
              <w:rPr>
                <w:rFonts w:ascii="Cambria" w:hAnsi="Cambria" w:cs="Cambria"/>
                <w:i/>
                <w:iCs/>
                <w:sz w:val="24"/>
                <w:szCs w:val="24"/>
              </w:rPr>
              <w:t>Historia literatury angielskiej.  Zarys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, Wrocław 1981 (wybór). Pełna lista lektur w bibliotece uczelnianej.</w:t>
            </w:r>
          </w:p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83E36" w:rsidRPr="003A7958">
        <w:tc>
          <w:tcPr>
            <w:tcW w:w="2448" w:type="dxa"/>
            <w:tcBorders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583E36" w:rsidRDefault="00583E36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  <w:p w:rsidR="00583E36" w:rsidRDefault="00583E36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W. J. Harrington, </w:t>
            </w:r>
            <w:r w:rsidRPr="003A7958">
              <w:rPr>
                <w:rFonts w:ascii="Cambria" w:hAnsi="Cambria" w:cs="Cambria"/>
                <w:i/>
                <w:iCs/>
                <w:sz w:val="24"/>
                <w:szCs w:val="24"/>
              </w:rPr>
              <w:t>Klucz do Biblii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, opr. Roland de Vaux OP. (przekład: J. Mąrzecki), Warszawa 1982.</w:t>
            </w:r>
          </w:p>
          <w:p w:rsidR="00583E36" w:rsidRPr="003A7958" w:rsidRDefault="00583E36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583E36" w:rsidRPr="003A7958" w:rsidRDefault="00583E36">
      <w:pPr>
        <w:rPr>
          <w:rFonts w:ascii="Cambria" w:hAnsi="Cambria" w:cs="Cambria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83E36" w:rsidRPr="003A795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583E36" w:rsidRPr="003A7958" w:rsidRDefault="00583E36" w:rsidP="003646D0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Wykład informacyjny i problemowy; dyskusja.</w:t>
            </w:r>
          </w:p>
        </w:tc>
      </w:tr>
      <w:tr w:rsidR="00583E36" w:rsidRPr="003A795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3A7958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  <w:r w:rsidRPr="003A7958">
              <w:rPr>
                <w:rFonts w:ascii="Cambria" w:hAnsi="Cambria" w:cs="Cambria"/>
                <w:sz w:val="18"/>
                <w:szCs w:val="18"/>
              </w:rPr>
              <w:br/>
            </w:r>
          </w:p>
        </w:tc>
      </w:tr>
      <w:tr w:rsidR="00583E36" w:rsidRPr="003A7958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2"/>
                <w:szCs w:val="22"/>
              </w:rPr>
              <w:t>Praca pisemna (referat, rozprawka, esej).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583E36" w:rsidRPr="003A7958" w:rsidRDefault="00583E36" w:rsidP="00F07117">
            <w:pPr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01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02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</w:tr>
      <w:tr w:rsidR="00583E36" w:rsidRPr="003A7958">
        <w:tc>
          <w:tcPr>
            <w:tcW w:w="8208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Aktywność na zajęciach  </w:t>
            </w:r>
          </w:p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</w:tcPr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</w:tr>
      <w:tr w:rsidR="00583E36" w:rsidRPr="003A795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83E36" w:rsidRPr="003A7958" w:rsidRDefault="00583E36" w:rsidP="00F07117">
            <w:pPr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01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02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</w:tr>
      <w:tr w:rsidR="00583E36" w:rsidRPr="003A795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83E36" w:rsidRPr="003A7958" w:rsidRDefault="00583E36" w:rsidP="00FA776D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583E36" w:rsidRPr="003A7958" w:rsidRDefault="00583E36" w:rsidP="00FA776D">
            <w:pPr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2"/>
                <w:szCs w:val="22"/>
              </w:rPr>
              <w:t>przygotowanie prezentacji pod kierunkiem wykładowcy -  50%</w:t>
            </w:r>
          </w:p>
          <w:p w:rsidR="00583E36" w:rsidRPr="003A7958" w:rsidRDefault="00583E36" w:rsidP="00FA776D">
            <w:pPr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2"/>
                <w:szCs w:val="22"/>
              </w:rPr>
              <w:t xml:space="preserve">praca pisemna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przygotowana pod kierunkiem wykładowcy </w:t>
            </w:r>
            <w:r w:rsidRPr="003A7958">
              <w:rPr>
                <w:rFonts w:ascii="Cambria" w:hAnsi="Cambria" w:cs="Cambria"/>
                <w:sz w:val="22"/>
                <w:szCs w:val="22"/>
              </w:rPr>
              <w:t>- 50%</w:t>
            </w:r>
          </w:p>
        </w:tc>
      </w:tr>
      <w:tr w:rsidR="00583E36" w:rsidRPr="003A795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83E36" w:rsidRPr="003A7958" w:rsidRDefault="00583E36" w:rsidP="00FA776D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583E36" w:rsidRPr="003A7958" w:rsidRDefault="00583E36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583E36" w:rsidRPr="003A7958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583E36" w:rsidRPr="003A7958">
        <w:trPr>
          <w:trHeight w:val="263"/>
        </w:trPr>
        <w:tc>
          <w:tcPr>
            <w:tcW w:w="4723" w:type="dxa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583E36" w:rsidRPr="003A7958">
        <w:trPr>
          <w:trHeight w:val="262"/>
        </w:trPr>
        <w:tc>
          <w:tcPr>
            <w:tcW w:w="4723" w:type="dxa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583E36" w:rsidRPr="003A7958">
        <w:trPr>
          <w:trHeight w:val="262"/>
        </w:trPr>
        <w:tc>
          <w:tcPr>
            <w:tcW w:w="4723" w:type="dxa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583E36" w:rsidRPr="003A7958" w:rsidRDefault="00583E36" w:rsidP="003C684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583E36" w:rsidRPr="003A7958">
        <w:trPr>
          <w:trHeight w:val="262"/>
        </w:trPr>
        <w:tc>
          <w:tcPr>
            <w:tcW w:w="4723" w:type="dxa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3A7958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83E36" w:rsidRPr="003A7958">
        <w:trPr>
          <w:trHeight w:val="262"/>
        </w:trPr>
        <w:tc>
          <w:tcPr>
            <w:tcW w:w="4723" w:type="dxa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3A7958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83E36" w:rsidRPr="003A7958">
        <w:trPr>
          <w:trHeight w:val="262"/>
        </w:trPr>
        <w:tc>
          <w:tcPr>
            <w:tcW w:w="4723" w:type="dxa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3A7958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583E36" w:rsidRPr="003A7958" w:rsidRDefault="00583E36" w:rsidP="00646540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583E36" w:rsidRPr="003A7958">
        <w:trPr>
          <w:trHeight w:val="262"/>
        </w:trPr>
        <w:tc>
          <w:tcPr>
            <w:tcW w:w="4723" w:type="dxa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583E36" w:rsidRPr="003A7958">
        <w:trPr>
          <w:trHeight w:val="262"/>
        </w:trPr>
        <w:tc>
          <w:tcPr>
            <w:tcW w:w="4723" w:type="dxa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583E36" w:rsidRPr="003A7958">
        <w:trPr>
          <w:trHeight w:val="262"/>
        </w:trPr>
        <w:tc>
          <w:tcPr>
            <w:tcW w:w="4723" w:type="dxa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83E36" w:rsidRPr="003A7958">
        <w:trPr>
          <w:trHeight w:val="262"/>
        </w:trPr>
        <w:tc>
          <w:tcPr>
            <w:tcW w:w="4723" w:type="dxa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583E36" w:rsidRPr="003A7958" w:rsidRDefault="00583E36" w:rsidP="000A0E9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583E36" w:rsidRPr="003A7958">
        <w:trPr>
          <w:trHeight w:val="417"/>
        </w:trPr>
        <w:tc>
          <w:tcPr>
            <w:tcW w:w="4723" w:type="dxa"/>
            <w:shd w:val="clear" w:color="auto" w:fill="C0C0C0"/>
          </w:tcPr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583E36" w:rsidRPr="003A7958">
        <w:trPr>
          <w:trHeight w:val="262"/>
        </w:trPr>
        <w:tc>
          <w:tcPr>
            <w:tcW w:w="4723" w:type="dxa"/>
            <w:shd w:val="clear" w:color="auto" w:fill="C0C0C0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3A7958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583E36" w:rsidRDefault="00583E36" w:rsidP="00291B8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(10)</w:t>
            </w:r>
          </w:p>
          <w:p w:rsidR="00583E36" w:rsidRPr="003A7958" w:rsidRDefault="00583E36" w:rsidP="00646540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0,4 ECTS</w:t>
            </w:r>
          </w:p>
        </w:tc>
      </w:tr>
      <w:tr w:rsidR="00583E36" w:rsidRPr="003A7958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583E36" w:rsidRDefault="00583E36" w:rsidP="003413A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(30+1=31)</w:t>
            </w:r>
          </w:p>
          <w:p w:rsidR="00583E36" w:rsidRPr="003A7958" w:rsidRDefault="00583E36" w:rsidP="00F2456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1,2 ECTS</w:t>
            </w:r>
          </w:p>
        </w:tc>
      </w:tr>
    </w:tbl>
    <w:p w:rsidR="00583E36" w:rsidRPr="003A7958" w:rsidRDefault="00583E36" w:rsidP="000A3DFE">
      <w:pPr>
        <w:rPr>
          <w:rFonts w:ascii="Cambria" w:hAnsi="Cambria" w:cs="Cambria"/>
          <w:sz w:val="24"/>
          <w:szCs w:val="24"/>
        </w:rPr>
      </w:pPr>
    </w:p>
    <w:sectPr w:rsidR="00583E36" w:rsidRPr="003A7958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E36" w:rsidRDefault="00583E36">
      <w:r>
        <w:separator/>
      </w:r>
    </w:p>
  </w:endnote>
  <w:endnote w:type="continuationSeparator" w:id="0">
    <w:p w:rsidR="00583E36" w:rsidRDefault="00583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E36" w:rsidRDefault="00583E3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83E36" w:rsidRDefault="00583E3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E36" w:rsidRDefault="00583E3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83E36" w:rsidRDefault="00583E3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E36" w:rsidRDefault="00583E36">
      <w:r>
        <w:separator/>
      </w:r>
    </w:p>
  </w:footnote>
  <w:footnote w:type="continuationSeparator" w:id="0">
    <w:p w:rsidR="00583E36" w:rsidRDefault="00583E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41887"/>
    <w:rsid w:val="000A0E9D"/>
    <w:rsid w:val="000A3DFE"/>
    <w:rsid w:val="000E08AD"/>
    <w:rsid w:val="00130D2B"/>
    <w:rsid w:val="00131752"/>
    <w:rsid w:val="001360E5"/>
    <w:rsid w:val="00136F74"/>
    <w:rsid w:val="001507FB"/>
    <w:rsid w:val="00154315"/>
    <w:rsid w:val="00163FCE"/>
    <w:rsid w:val="00181BBB"/>
    <w:rsid w:val="001A4F4E"/>
    <w:rsid w:val="002271C5"/>
    <w:rsid w:val="00291B8F"/>
    <w:rsid w:val="002D2B56"/>
    <w:rsid w:val="003413A7"/>
    <w:rsid w:val="00341A34"/>
    <w:rsid w:val="003646D0"/>
    <w:rsid w:val="003A7958"/>
    <w:rsid w:val="003B0D59"/>
    <w:rsid w:val="003B51F0"/>
    <w:rsid w:val="003C684F"/>
    <w:rsid w:val="00433D1C"/>
    <w:rsid w:val="0049796F"/>
    <w:rsid w:val="004A6477"/>
    <w:rsid w:val="004C50E1"/>
    <w:rsid w:val="00502213"/>
    <w:rsid w:val="00521293"/>
    <w:rsid w:val="00554ED9"/>
    <w:rsid w:val="00561E05"/>
    <w:rsid w:val="0057195F"/>
    <w:rsid w:val="00583E36"/>
    <w:rsid w:val="00584E2C"/>
    <w:rsid w:val="005D06D0"/>
    <w:rsid w:val="00600974"/>
    <w:rsid w:val="0060575D"/>
    <w:rsid w:val="006079B3"/>
    <w:rsid w:val="00646540"/>
    <w:rsid w:val="006560B5"/>
    <w:rsid w:val="0066075B"/>
    <w:rsid w:val="0068329F"/>
    <w:rsid w:val="006C4B1E"/>
    <w:rsid w:val="006C781A"/>
    <w:rsid w:val="006F536F"/>
    <w:rsid w:val="007744B1"/>
    <w:rsid w:val="00794510"/>
    <w:rsid w:val="007F0A2C"/>
    <w:rsid w:val="00821839"/>
    <w:rsid w:val="009430FA"/>
    <w:rsid w:val="0094628A"/>
    <w:rsid w:val="009D092B"/>
    <w:rsid w:val="00A44201"/>
    <w:rsid w:val="00A554E8"/>
    <w:rsid w:val="00A72AF0"/>
    <w:rsid w:val="00A8655E"/>
    <w:rsid w:val="00B256FF"/>
    <w:rsid w:val="00B36A2F"/>
    <w:rsid w:val="00B82B5E"/>
    <w:rsid w:val="00B91DAC"/>
    <w:rsid w:val="00BA4F60"/>
    <w:rsid w:val="00CB3EAC"/>
    <w:rsid w:val="00CC0449"/>
    <w:rsid w:val="00D0468B"/>
    <w:rsid w:val="00D40419"/>
    <w:rsid w:val="00D653DC"/>
    <w:rsid w:val="00DF2FA6"/>
    <w:rsid w:val="00E579BD"/>
    <w:rsid w:val="00EE005F"/>
    <w:rsid w:val="00F07117"/>
    <w:rsid w:val="00F2456E"/>
    <w:rsid w:val="00F37724"/>
    <w:rsid w:val="00FA41EA"/>
    <w:rsid w:val="00FA776D"/>
    <w:rsid w:val="00FD3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F4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4F4E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A4F4E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1A4F4E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A4F4E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A4F4E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A4F4E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147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147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147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1473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147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1473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1A4F4E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A4F4E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D1473"/>
    <w:rPr>
      <w:sz w:val="20"/>
      <w:szCs w:val="20"/>
    </w:rPr>
  </w:style>
  <w:style w:type="paragraph" w:styleId="NormalWeb">
    <w:name w:val="Normal (Web)"/>
    <w:basedOn w:val="Normal"/>
    <w:uiPriority w:val="99"/>
    <w:rsid w:val="001A4F4E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1A4F4E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D1473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1A4F4E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D1473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1A4F4E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BD147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1A4F4E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1A4F4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1473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1A4F4E"/>
  </w:style>
  <w:style w:type="paragraph" w:styleId="Footer">
    <w:name w:val="footer"/>
    <w:basedOn w:val="Normal"/>
    <w:link w:val="FooterChar"/>
    <w:uiPriority w:val="99"/>
    <w:rsid w:val="001A4F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1473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1A4F4E"/>
  </w:style>
  <w:style w:type="paragraph" w:styleId="Subtitle">
    <w:name w:val="Subtitle"/>
    <w:basedOn w:val="Normal"/>
    <w:link w:val="SubtitleChar"/>
    <w:uiPriority w:val="99"/>
    <w:qFormat/>
    <w:rsid w:val="001A4F4E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BD1473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1A4F4E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1A4F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90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654</Words>
  <Characters>3924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2012-09-19T16:28:00Z</cp:lastPrinted>
  <dcterms:created xsi:type="dcterms:W3CDTF">2012-09-19T16:28:00Z</dcterms:created>
  <dcterms:modified xsi:type="dcterms:W3CDTF">2012-09-19T16:28:00Z</dcterms:modified>
</cp:coreProperties>
</file>